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36" w:rsidRDefault="00D60436" w:rsidP="00D60436">
      <w:pPr>
        <w:autoSpaceDE w:val="0"/>
        <w:autoSpaceDN w:val="0"/>
        <w:adjustRightInd w:val="0"/>
        <w:spacing w:after="0" w:line="240" w:lineRule="auto"/>
        <w:ind w:firstLine="540"/>
        <w:jc w:val="both"/>
        <w:rPr>
          <w:rFonts w:ascii="Tahoma" w:hAnsi="Tahoma" w:cs="Tahoma"/>
        </w:rPr>
      </w:pPr>
      <w:bookmarkStart w:id="0" w:name="_GoBack"/>
      <w:bookmarkEnd w:id="0"/>
      <w:r>
        <w:rPr>
          <w:rFonts w:ascii="Tahoma" w:hAnsi="Tahoma" w:cs="Tahoma"/>
        </w:rPr>
        <w:t xml:space="preserve">а) план расположения </w:t>
      </w:r>
      <w:proofErr w:type="spellStart"/>
      <w:r>
        <w:rPr>
          <w:rFonts w:ascii="Tahoma" w:hAnsi="Tahoma" w:cs="Tahoma"/>
        </w:rPr>
        <w:t>энергопринимающих</w:t>
      </w:r>
      <w:proofErr w:type="spellEnd"/>
      <w:r>
        <w:rPr>
          <w:rFonts w:ascii="Tahoma" w:hAnsi="Tahoma" w:cs="Tahoma"/>
        </w:rPr>
        <w:t xml:space="preserve"> устройств, которые необходимо присоединить к электрическим сетям сетевой организации;</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в) перечень и мощность </w:t>
      </w:r>
      <w:proofErr w:type="spellStart"/>
      <w:r>
        <w:rPr>
          <w:rFonts w:ascii="Tahoma" w:hAnsi="Tahoma" w:cs="Tahoma"/>
        </w:rPr>
        <w:t>энергопринимающих</w:t>
      </w:r>
      <w:proofErr w:type="spellEnd"/>
      <w:r>
        <w:rPr>
          <w:rFonts w:ascii="Tahoma" w:hAnsi="Tahoma" w:cs="Tahoma"/>
        </w:rPr>
        <w:t xml:space="preserve"> устройств, которые могут быть присоединены к устройствам противоаварийной и режимной автоматики;</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г) один из перечисленных ниже видов документов (за исключением случаев, предусмотренных </w:t>
      </w:r>
      <w:hyperlink w:anchor="Par26" w:history="1">
        <w:r>
          <w:rPr>
            <w:rFonts w:ascii="Tahoma" w:hAnsi="Tahoma" w:cs="Tahoma"/>
            <w:color w:val="0000FF"/>
          </w:rPr>
          <w:t>подпунктами "</w:t>
        </w:r>
        <w:proofErr w:type="spellStart"/>
        <w:r>
          <w:rPr>
            <w:rFonts w:ascii="Tahoma" w:hAnsi="Tahoma" w:cs="Tahoma"/>
            <w:color w:val="0000FF"/>
          </w:rPr>
          <w:t>н</w:t>
        </w:r>
        <w:proofErr w:type="spellEnd"/>
        <w:r>
          <w:rPr>
            <w:rFonts w:ascii="Tahoma" w:hAnsi="Tahoma" w:cs="Tahoma"/>
            <w:color w:val="0000FF"/>
          </w:rPr>
          <w:t>"</w:t>
        </w:r>
      </w:hyperlink>
      <w:r>
        <w:rPr>
          <w:rFonts w:ascii="Tahoma" w:hAnsi="Tahoma" w:cs="Tahoma"/>
        </w:rPr>
        <w:t xml:space="preserve"> и </w:t>
      </w:r>
      <w:hyperlink w:anchor="Par28" w:history="1">
        <w:r>
          <w:rPr>
            <w:rFonts w:ascii="Tahoma" w:hAnsi="Tahoma" w:cs="Tahoma"/>
            <w:color w:val="0000FF"/>
          </w:rPr>
          <w:t>"о"</w:t>
        </w:r>
      </w:hyperlink>
      <w:r>
        <w:rPr>
          <w:rFonts w:ascii="Tahoma" w:hAnsi="Tahoma" w:cs="Tahoma"/>
        </w:rPr>
        <w:t xml:space="preserve"> настоящего пункта):</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w:t>
      </w:r>
      <w:proofErr w:type="spellStart"/>
      <w:r>
        <w:rPr>
          <w:rFonts w:ascii="Tahoma" w:hAnsi="Tahoma" w:cs="Tahoma"/>
        </w:rPr>
        <w:t>энергопринимающие</w:t>
      </w:r>
      <w:proofErr w:type="spellEnd"/>
      <w:r>
        <w:rPr>
          <w:rFonts w:ascii="Tahoma" w:hAnsi="Tahoma" w:cs="Tahoma"/>
        </w:rPr>
        <w:t xml:space="preserve"> устройства заявителя;</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w:t>
      </w:r>
      <w:proofErr w:type="spellStart"/>
      <w:r>
        <w:rPr>
          <w:rFonts w:ascii="Tahoma" w:hAnsi="Tahoma" w:cs="Tahoma"/>
        </w:rPr>
        <w:t>энергопринимающих</w:t>
      </w:r>
      <w:proofErr w:type="spellEnd"/>
      <w:r>
        <w:rPr>
          <w:rFonts w:ascii="Tahoma" w:hAnsi="Tahoma" w:cs="Tahoma"/>
        </w:rPr>
        <w:t xml:space="preserve"> устройств заявителя (с указанием сведений о границах используемой территории);</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w:t>
      </w:r>
      <w:proofErr w:type="spellStart"/>
      <w:r>
        <w:rPr>
          <w:rFonts w:ascii="Tahoma" w:hAnsi="Tahoma" w:cs="Tahoma"/>
        </w:rPr>
        <w:t>энергопринимающих</w:t>
      </w:r>
      <w:proofErr w:type="spellEnd"/>
      <w:r>
        <w:rPr>
          <w:rFonts w:ascii="Tahoma" w:hAnsi="Tahoma" w:cs="Tahoma"/>
        </w:rPr>
        <w:t xml:space="preserve"> устройств заявителя (с указанием сведений о границах сервитута);</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д</w:t>
      </w:r>
      <w:proofErr w:type="spellEnd"/>
      <w:r>
        <w:rPr>
          <w:rFonts w:ascii="Tahoma" w:hAnsi="Tahoma" w:cs="Tahoma"/>
        </w:rPr>
        <w:t>)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д</w:t>
      </w:r>
      <w:proofErr w:type="spellEnd"/>
      <w:r>
        <w:rPr>
          <w:rFonts w:ascii="Tahoma" w:hAnsi="Tahoma" w:cs="Tahoma"/>
        </w:rPr>
        <w:t xml:space="preserve">(1)) в случае подачи заявки </w:t>
      </w:r>
      <w:proofErr w:type="spellStart"/>
      <w:r>
        <w:rPr>
          <w:rFonts w:ascii="Tahoma" w:hAnsi="Tahoma" w:cs="Tahoma"/>
        </w:rPr>
        <w:t>очно</w:t>
      </w:r>
      <w:proofErr w:type="spellEnd"/>
      <w:r>
        <w:rPr>
          <w:rFonts w:ascii="Tahoma" w:hAnsi="Tahoma" w:cs="Tahoma"/>
        </w:rPr>
        <w:t xml:space="preserve"> или почтой - заполненное согласие на обработку персональных данных, соответствующее требованиям Федерального </w:t>
      </w:r>
      <w:hyperlink r:id="rId4" w:history="1">
        <w:r>
          <w:rPr>
            <w:rFonts w:ascii="Tahoma" w:hAnsi="Tahoma" w:cs="Tahoma"/>
            <w:color w:val="0000FF"/>
          </w:rPr>
          <w:t>закона</w:t>
        </w:r>
      </w:hyperlink>
      <w:r>
        <w:rPr>
          <w:rFonts w:ascii="Tahoma" w:hAnsi="Tahoma" w:cs="Tahoma"/>
        </w:rPr>
        <w:t xml:space="preserve"> "О персональных данных";</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е) утратил силу. - </w:t>
      </w:r>
      <w:hyperlink r:id="rId5" w:history="1">
        <w:r>
          <w:rPr>
            <w:rFonts w:ascii="Tahoma" w:hAnsi="Tahoma" w:cs="Tahoma"/>
            <w:color w:val="0000FF"/>
          </w:rPr>
          <w:t>Постановление</w:t>
        </w:r>
      </w:hyperlink>
      <w:r>
        <w:rPr>
          <w:rFonts w:ascii="Tahoma" w:hAnsi="Tahoma" w:cs="Tahoma"/>
        </w:rPr>
        <w:t xml:space="preserve"> Правительства РФ от 24.09.2010 N 759;</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ж) в случае технологического присоединения </w:t>
      </w:r>
      <w:proofErr w:type="spellStart"/>
      <w:r>
        <w:rPr>
          <w:rFonts w:ascii="Tahoma" w:hAnsi="Tahoma" w:cs="Tahoma"/>
        </w:rPr>
        <w:t>энергопринимающих</w:t>
      </w:r>
      <w:proofErr w:type="spellEnd"/>
      <w:r>
        <w:rPr>
          <w:rFonts w:ascii="Tahoma" w:hAnsi="Tahoma" w:cs="Tahoma"/>
        </w:rPr>
        <w:t xml:space="preserve"> устройств, указанных в </w:t>
      </w:r>
      <w:hyperlink r:id="rId6" w:history="1">
        <w:r>
          <w:rPr>
            <w:rFonts w:ascii="Tahoma" w:hAnsi="Tahoma" w:cs="Tahoma"/>
            <w:color w:val="0000FF"/>
          </w:rPr>
          <w:t>абзаце первом пункта 8(4)</w:t>
        </w:r>
      </w:hyperlink>
      <w:r>
        <w:rPr>
          <w:rFonts w:ascii="Tahoma" w:hAnsi="Tahoma" w:cs="Tahoma"/>
        </w:rPr>
        <w:t xml:space="preserve"> Правил технологического присоединения,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w:t>
      </w:r>
      <w:r>
        <w:rPr>
          <w:rFonts w:ascii="Tahoma" w:hAnsi="Tahoma" w:cs="Tahoma"/>
        </w:rPr>
        <w:lastRenderedPageBreak/>
        <w:t>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з</w:t>
      </w:r>
      <w:proofErr w:type="spellEnd"/>
      <w:r>
        <w:rPr>
          <w:rFonts w:ascii="Tahoma" w:hAnsi="Tahoma" w:cs="Tahoma"/>
        </w:rPr>
        <w:t xml:space="preserve">) утратил силу. - </w:t>
      </w:r>
      <w:hyperlink r:id="rId7" w:history="1">
        <w:r>
          <w:rPr>
            <w:rFonts w:ascii="Tahoma" w:hAnsi="Tahoma" w:cs="Tahoma"/>
            <w:color w:val="0000FF"/>
          </w:rPr>
          <w:t>Постановление</w:t>
        </w:r>
      </w:hyperlink>
      <w:r>
        <w:rPr>
          <w:rFonts w:ascii="Tahoma" w:hAnsi="Tahoma" w:cs="Tahoma"/>
        </w:rPr>
        <w:t xml:space="preserve"> Правительства РФ от 09.10.2021 N 1711;</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з</w:t>
      </w:r>
      <w:proofErr w:type="spellEnd"/>
      <w:r>
        <w:rPr>
          <w:rFonts w:ascii="Tahoma" w:hAnsi="Tahoma" w:cs="Tahoma"/>
        </w:rPr>
        <w:t xml:space="preserve">(1)) утратил силу. - </w:t>
      </w:r>
      <w:hyperlink r:id="rId8" w:history="1">
        <w:r>
          <w:rPr>
            <w:rFonts w:ascii="Tahoma" w:hAnsi="Tahoma" w:cs="Tahoma"/>
            <w:color w:val="0000FF"/>
          </w:rPr>
          <w:t>Постановление</w:t>
        </w:r>
      </w:hyperlink>
      <w:r>
        <w:rPr>
          <w:rFonts w:ascii="Tahoma" w:hAnsi="Tahoma" w:cs="Tahoma"/>
        </w:rPr>
        <w:t xml:space="preserve"> Правительства РФ от 30.06.2022 N 1178;</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9" w:history="1">
        <w:r>
          <w:rPr>
            <w:rFonts w:ascii="Tahoma" w:hAnsi="Tahoma" w:cs="Tahoma"/>
            <w:color w:val="0000FF"/>
          </w:rPr>
          <w:t>пунктом 33</w:t>
        </w:r>
      </w:hyperlink>
      <w:r>
        <w:rPr>
          <w:rFonts w:ascii="Tahoma" w:hAnsi="Tahoma" w:cs="Tahoma"/>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к) в случае технологического присоединения объекта по производству электрической энергии максимальной мощностью более 5 МВт или </w:t>
      </w:r>
      <w:proofErr w:type="spellStart"/>
      <w:r>
        <w:rPr>
          <w:rFonts w:ascii="Tahoma" w:hAnsi="Tahoma" w:cs="Tahoma"/>
        </w:rPr>
        <w:t>энергопринимающих</w:t>
      </w:r>
      <w:proofErr w:type="spellEnd"/>
      <w:r>
        <w:rPr>
          <w:rFonts w:ascii="Tahoma" w:hAnsi="Tahoma" w:cs="Tahoma"/>
        </w:rPr>
        <w:t xml:space="preserve">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w:t>
      </w:r>
      <w:hyperlink r:id="rId10" w:history="1">
        <w:r>
          <w:rPr>
            <w:rFonts w:ascii="Tahoma" w:hAnsi="Tahoma" w:cs="Tahoma"/>
            <w:color w:val="0000FF"/>
          </w:rPr>
          <w:t>правилами</w:t>
        </w:r>
      </w:hyperlink>
      <w:r>
        <w:rPr>
          <w:rFonts w:ascii="Tahoma" w:hAnsi="Tahoma" w:cs="Tahoma"/>
        </w:rPr>
        <w:t xml:space="preserve"> разработки и согласования схем выдачи мощности объектов по производству электрической энергии и схем внешнего электроснабжения </w:t>
      </w:r>
      <w:proofErr w:type="spellStart"/>
      <w:r>
        <w:rPr>
          <w:rFonts w:ascii="Tahoma" w:hAnsi="Tahoma" w:cs="Tahoma"/>
        </w:rPr>
        <w:t>энергопринимающих</w:t>
      </w:r>
      <w:proofErr w:type="spellEnd"/>
      <w:r>
        <w:rPr>
          <w:rFonts w:ascii="Tahoma" w:hAnsi="Tahoma" w:cs="Tahoma"/>
        </w:rPr>
        <w:t xml:space="preserve"> устройств потребителей электрической энергии и </w:t>
      </w:r>
      <w:hyperlink r:id="rId11" w:history="1">
        <w:r>
          <w:rPr>
            <w:rFonts w:ascii="Tahoma" w:hAnsi="Tahoma" w:cs="Tahoma"/>
            <w:color w:val="0000FF"/>
          </w:rPr>
          <w:t>методическими указаниями</w:t>
        </w:r>
      </w:hyperlink>
      <w:r>
        <w:rPr>
          <w:rFonts w:ascii="Tahoma" w:hAnsi="Tahoma" w:cs="Tahoma"/>
        </w:rPr>
        <w:t xml:space="preserve">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л) утратил силу. - </w:t>
      </w:r>
      <w:hyperlink r:id="rId12" w:history="1">
        <w:r>
          <w:rPr>
            <w:rFonts w:ascii="Tahoma" w:hAnsi="Tahoma" w:cs="Tahoma"/>
            <w:color w:val="0000FF"/>
          </w:rPr>
          <w:t>Постановление</w:t>
        </w:r>
      </w:hyperlink>
      <w:r>
        <w:rPr>
          <w:rFonts w:ascii="Tahoma" w:hAnsi="Tahoma" w:cs="Tahoma"/>
        </w:rPr>
        <w:t xml:space="preserve"> Правительства РФ от 30.06.2022 N 1178;</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D60436" w:rsidRDefault="00D60436" w:rsidP="00D60436">
      <w:pPr>
        <w:autoSpaceDE w:val="0"/>
        <w:autoSpaceDN w:val="0"/>
        <w:adjustRightInd w:val="0"/>
        <w:spacing w:before="220" w:after="0" w:line="240" w:lineRule="auto"/>
        <w:ind w:firstLine="540"/>
        <w:jc w:val="both"/>
        <w:rPr>
          <w:rFonts w:ascii="Tahoma" w:hAnsi="Tahoma" w:cs="Tahoma"/>
        </w:rPr>
      </w:pPr>
      <w:bookmarkStart w:id="1" w:name="Par26"/>
      <w:bookmarkEnd w:id="1"/>
      <w:proofErr w:type="spellStart"/>
      <w:r>
        <w:rPr>
          <w:rFonts w:ascii="Tahoma" w:hAnsi="Tahoma" w:cs="Tahoma"/>
        </w:rPr>
        <w:t>н</w:t>
      </w:r>
      <w:proofErr w:type="spellEnd"/>
      <w:r>
        <w:rPr>
          <w:rFonts w:ascii="Tahoma" w:hAnsi="Tahoma" w:cs="Tahoma"/>
        </w:rPr>
        <w:t xml:space="preserve">) в случае подачи заявки на основании </w:t>
      </w:r>
      <w:hyperlink r:id="rId13" w:history="1">
        <w:r>
          <w:rPr>
            <w:rFonts w:ascii="Tahoma" w:hAnsi="Tahoma" w:cs="Tahoma"/>
            <w:color w:val="0000FF"/>
          </w:rPr>
          <w:t>пункта 8(7)</w:t>
        </w:r>
      </w:hyperlink>
      <w:r>
        <w:rPr>
          <w:rFonts w:ascii="Tahoma" w:hAnsi="Tahoma" w:cs="Tahoma"/>
        </w:rPr>
        <w:t xml:space="preserve"> Правил технологического присоединения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60436" w:rsidRDefault="00D60436" w:rsidP="00D60436">
      <w:pPr>
        <w:autoSpaceDE w:val="0"/>
        <w:autoSpaceDN w:val="0"/>
        <w:adjustRightInd w:val="0"/>
        <w:spacing w:before="220" w:after="0" w:line="240" w:lineRule="auto"/>
        <w:ind w:firstLine="540"/>
        <w:jc w:val="both"/>
        <w:rPr>
          <w:rFonts w:ascii="Tahoma" w:hAnsi="Tahoma" w:cs="Tahoma"/>
        </w:rPr>
      </w:pPr>
      <w:bookmarkStart w:id="2" w:name="Par28"/>
      <w:bookmarkEnd w:id="2"/>
      <w:r>
        <w:rPr>
          <w:rFonts w:ascii="Tahoma" w:hAnsi="Tahoma" w:cs="Tahoma"/>
        </w:rPr>
        <w:t xml:space="preserve">о) в случае подачи заявки на основании </w:t>
      </w:r>
      <w:hyperlink r:id="rId14" w:history="1">
        <w:r>
          <w:rPr>
            <w:rFonts w:ascii="Tahoma" w:hAnsi="Tahoma" w:cs="Tahoma"/>
            <w:color w:val="0000FF"/>
          </w:rPr>
          <w:t>пункта 8(8)</w:t>
        </w:r>
      </w:hyperlink>
      <w:r>
        <w:rPr>
          <w:rFonts w:ascii="Tahoma" w:hAnsi="Tahoma" w:cs="Tahoma"/>
        </w:rPr>
        <w:t xml:space="preserve"> Правил технологического присоединения - копии решения о предварительном согласовании предоставления земельного участка, утвержденного проекта межевания территории и (или) выданного в </w:t>
      </w:r>
      <w:r>
        <w:rPr>
          <w:rFonts w:ascii="Tahoma" w:hAnsi="Tahoma" w:cs="Tahoma"/>
        </w:rPr>
        <w:lastRenderedPageBreak/>
        <w:t xml:space="preserve">соответствии с </w:t>
      </w:r>
      <w:hyperlink r:id="rId15" w:history="1">
        <w:r>
          <w:rPr>
            <w:rFonts w:ascii="Tahoma" w:hAnsi="Tahoma" w:cs="Tahoma"/>
            <w:color w:val="0000FF"/>
          </w:rPr>
          <w:t>частью 1.1 статьи 57.3</w:t>
        </w:r>
      </w:hyperlink>
      <w:r>
        <w:rPr>
          <w:rFonts w:ascii="Tahoma" w:hAnsi="Tahoma" w:cs="Tahoma"/>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r:id="rId16" w:history="1">
        <w:r>
          <w:rPr>
            <w:rFonts w:ascii="Tahoma" w:hAnsi="Tahoma" w:cs="Tahoma"/>
            <w:color w:val="0000FF"/>
          </w:rPr>
          <w:t>абзацах третьем</w:t>
        </w:r>
      </w:hyperlink>
      <w:r>
        <w:rPr>
          <w:rFonts w:ascii="Tahoma" w:hAnsi="Tahoma" w:cs="Tahoma"/>
        </w:rPr>
        <w:t xml:space="preserve"> и </w:t>
      </w:r>
      <w:hyperlink r:id="rId17" w:history="1">
        <w:r>
          <w:rPr>
            <w:rFonts w:ascii="Tahoma" w:hAnsi="Tahoma" w:cs="Tahoma"/>
            <w:color w:val="0000FF"/>
          </w:rPr>
          <w:t>четвертом пункта 8(8)</w:t>
        </w:r>
      </w:hyperlink>
      <w:r>
        <w:rPr>
          <w:rFonts w:ascii="Tahoma" w:hAnsi="Tahoma" w:cs="Tahoma"/>
        </w:rPr>
        <w:t xml:space="preserve">  Правил технологического присоединения);</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п</w:t>
      </w:r>
      <w:proofErr w:type="spellEnd"/>
      <w:r>
        <w:rPr>
          <w:rFonts w:ascii="Tahoma" w:hAnsi="Tahoma" w:cs="Tahoma"/>
        </w:rPr>
        <w:t xml:space="preserve">) при наличии в заявке сведений, предусмотренных </w:t>
      </w:r>
      <w:hyperlink r:id="rId18" w:history="1">
        <w:r>
          <w:rPr>
            <w:rFonts w:ascii="Tahoma" w:hAnsi="Tahoma" w:cs="Tahoma"/>
            <w:color w:val="0000FF"/>
          </w:rPr>
          <w:t>подпунктом "и(1)" пункта 9</w:t>
        </w:r>
      </w:hyperlink>
      <w:r>
        <w:rPr>
          <w:rFonts w:ascii="Tahoma" w:hAnsi="Tahoma" w:cs="Tahoma"/>
        </w:rPr>
        <w:t xml:space="preserve"> Правил технологического присоединения, - копия утвержденного в установленном порядке проекта планировки территории;</w:t>
      </w:r>
    </w:p>
    <w:p w:rsidR="00D60436" w:rsidRDefault="00D60436" w:rsidP="00D60436">
      <w:pPr>
        <w:autoSpaceDE w:val="0"/>
        <w:autoSpaceDN w:val="0"/>
        <w:adjustRightInd w:val="0"/>
        <w:spacing w:before="220" w:after="0" w:line="240" w:lineRule="auto"/>
        <w:ind w:firstLine="540"/>
        <w:jc w:val="both"/>
        <w:rPr>
          <w:rFonts w:ascii="Tahoma" w:hAnsi="Tahoma" w:cs="Tahoma"/>
        </w:rPr>
      </w:pPr>
      <w:proofErr w:type="spellStart"/>
      <w:r>
        <w:rPr>
          <w:rFonts w:ascii="Tahoma" w:hAnsi="Tahoma" w:cs="Tahoma"/>
        </w:rPr>
        <w:t>р</w:t>
      </w:r>
      <w:proofErr w:type="spellEnd"/>
      <w:r>
        <w:rPr>
          <w:rFonts w:ascii="Tahoma" w:hAnsi="Tahoma" w:cs="Tahoma"/>
        </w:rPr>
        <w:t xml:space="preserve">) при наличии в заявке сведений, предусмотренных </w:t>
      </w:r>
      <w:hyperlink r:id="rId19" w:history="1">
        <w:r>
          <w:rPr>
            <w:rFonts w:ascii="Tahoma" w:hAnsi="Tahoma" w:cs="Tahoma"/>
            <w:color w:val="0000FF"/>
          </w:rPr>
          <w:t>подпунктом "и(2)" пункта 9</w:t>
        </w:r>
      </w:hyperlink>
      <w:r>
        <w:rPr>
          <w:rFonts w:ascii="Tahoma" w:hAnsi="Tahoma" w:cs="Tahoma"/>
        </w:rPr>
        <w:t xml:space="preserve"> Правил технологического присоединения,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D60436" w:rsidRDefault="00D60436" w:rsidP="00D60436">
      <w:pPr>
        <w:autoSpaceDE w:val="0"/>
        <w:autoSpaceDN w:val="0"/>
        <w:adjustRightInd w:val="0"/>
        <w:spacing w:before="220" w:after="0" w:line="240" w:lineRule="auto"/>
        <w:ind w:firstLine="540"/>
        <w:jc w:val="both"/>
        <w:rPr>
          <w:rFonts w:ascii="Tahoma" w:hAnsi="Tahoma" w:cs="Tahoma"/>
        </w:rPr>
      </w:pPr>
      <w:r>
        <w:rPr>
          <w:rFonts w:ascii="Tahoma" w:hAnsi="Tahoma" w:cs="Tahoma"/>
        </w:rPr>
        <w:t xml:space="preserve">с) в случае технологического присоединения </w:t>
      </w:r>
      <w:proofErr w:type="spellStart"/>
      <w:r>
        <w:rPr>
          <w:rFonts w:ascii="Tahoma" w:hAnsi="Tahoma" w:cs="Tahoma"/>
        </w:rPr>
        <w:t>энергопринимающих</w:t>
      </w:r>
      <w:proofErr w:type="spellEnd"/>
      <w:r>
        <w:rPr>
          <w:rFonts w:ascii="Tahoma" w:hAnsi="Tahoma" w:cs="Tahoma"/>
        </w:rPr>
        <w:t xml:space="preserve">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147767" w:rsidRPr="00D60436" w:rsidRDefault="00147767" w:rsidP="00D60436"/>
    <w:sectPr w:rsidR="00147767" w:rsidRPr="00D60436" w:rsidSect="004958A6">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3427E"/>
    <w:rsid w:val="00040B5A"/>
    <w:rsid w:val="00091A62"/>
    <w:rsid w:val="000B114B"/>
    <w:rsid w:val="000C1F94"/>
    <w:rsid w:val="000F1B9E"/>
    <w:rsid w:val="00136D7E"/>
    <w:rsid w:val="00147767"/>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E5C5D"/>
    <w:rsid w:val="00BF3FAA"/>
    <w:rsid w:val="00BF51F5"/>
    <w:rsid w:val="00C0619B"/>
    <w:rsid w:val="00C33630"/>
    <w:rsid w:val="00C7057C"/>
    <w:rsid w:val="00C90FD7"/>
    <w:rsid w:val="00CC2AE7"/>
    <w:rsid w:val="00D154FC"/>
    <w:rsid w:val="00D3427E"/>
    <w:rsid w:val="00D45871"/>
    <w:rsid w:val="00D57251"/>
    <w:rsid w:val="00D60436"/>
    <w:rsid w:val="00D606A3"/>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6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DCFC38CCC1CB9F3B18FF42D3186F621D341AB86CEDCC9591160276114705652FD537CDBE22D6A0F43F101C6F8350A6B8760612945477Ei2g8M" TargetMode="External"/><Relationship Id="rId13" Type="http://schemas.openxmlformats.org/officeDocument/2006/relationships/hyperlink" Target="consultantplus://offline/ref=41CDCFC38CCC1CB9F3B18FF42D3186F621D249A284C1DCC9591160276114705652FD537EDBEB2E645F19E1058FAD3A14699B7E613745i4g4M" TargetMode="External"/><Relationship Id="rId18" Type="http://schemas.openxmlformats.org/officeDocument/2006/relationships/hyperlink" Target="consultantplus://offline/ref=41CDCFC38CCC1CB9F3B18FF42D3186F621D249A284C1DCC9591160276114705652FD537EDAE22D645F19E1058FAD3A14699B7E613745i4g4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1CDCFC38CCC1CB9F3B18FF42D3186F626D846A581C0DCC9591160276114705652FD537CDBE22D6E0843F101C6F8350A6B8760612945477Ei2g8M" TargetMode="External"/><Relationship Id="rId12" Type="http://schemas.openxmlformats.org/officeDocument/2006/relationships/hyperlink" Target="consultantplus://offline/ref=41CDCFC38CCC1CB9F3B18FF42D3186F621D341AB86CEDCC9591160276114705652FD537CDBE22D6A0F43F101C6F8350A6B8760612945477Ei2g8M" TargetMode="External"/><Relationship Id="rId17" Type="http://schemas.openxmlformats.org/officeDocument/2006/relationships/hyperlink" Target="consultantplus://offline/ref=41CDCFC38CCC1CB9F3B18FF42D3186F621D249A284C1DCC9591160276114705652FD537EDBEB24645F19E1058FAD3A14699B7E613745i4g4M" TargetMode="External"/><Relationship Id="rId2" Type="http://schemas.openxmlformats.org/officeDocument/2006/relationships/settings" Target="settings.xml"/><Relationship Id="rId16" Type="http://schemas.openxmlformats.org/officeDocument/2006/relationships/hyperlink" Target="consultantplus://offline/ref=41CDCFC38CCC1CB9F3B18FF42D3186F621D249A284C1DCC9591160276114705652FD537EDBEB25645F19E1058FAD3A14699B7E613745i4g4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1CDCFC38CCC1CB9F3B18FF42D3186F621D249A284C1DCC9591160276114705652FD537BDEE1263B5A0CF05D82AF260A6B87626335i4g4M" TargetMode="External"/><Relationship Id="rId11" Type="http://schemas.openxmlformats.org/officeDocument/2006/relationships/hyperlink" Target="consultantplus://offline/ref=41CDCFC38CCC1CB9F3B18FF42D3186F621D247A682C8DCC9591160276114705652FD537CDBE22D6E0943F101C6F8350A6B8760612945477Ei2g8M" TargetMode="External"/><Relationship Id="rId5" Type="http://schemas.openxmlformats.org/officeDocument/2006/relationships/hyperlink" Target="consultantplus://offline/ref=41CDCFC38CCC1CB9F3B18FF42D3186F626D546A687CDDCC9591160276114705652FD537CDBE22D6E0243F101C6F8350A6B8760612945477Ei2g8M" TargetMode="External"/><Relationship Id="rId15" Type="http://schemas.openxmlformats.org/officeDocument/2006/relationships/hyperlink" Target="consultantplus://offline/ref=41CDCFC38CCC1CB9F3B18FF42D3186F621D343A186CFDCC9591160276114705652FD537EDAEB2F645F19E1058FAD3A14699B7E613745i4g4M" TargetMode="External"/><Relationship Id="rId10" Type="http://schemas.openxmlformats.org/officeDocument/2006/relationships/hyperlink" Target="consultantplus://offline/ref=41CDCFC38CCC1CB9F3B18FF42D3186F621D246A381CCDCC9591160276114705652FD537CDBE22D6E0943F101C6F8350A6B8760612945477Ei2g8M" TargetMode="External"/><Relationship Id="rId19" Type="http://schemas.openxmlformats.org/officeDocument/2006/relationships/hyperlink" Target="consultantplus://offline/ref=41CDCFC38CCC1CB9F3B18FF42D3186F621D249A284C1DCC9591160276114705652FD537EDAE22C645F19E1058FAD3A14699B7E613745i4g4M" TargetMode="External"/><Relationship Id="rId4" Type="http://schemas.openxmlformats.org/officeDocument/2006/relationships/hyperlink" Target="consultantplus://offline/ref=41CDCFC38CCC1CB9F3B18FF42D3186F621D343A184C9DCC9591160276114705640FD0B70DBE0336F0956A75080iAgEM" TargetMode="External"/><Relationship Id="rId9" Type="http://schemas.openxmlformats.org/officeDocument/2006/relationships/hyperlink" Target="consultantplus://offline/ref=41CDCFC38CCC1CB9F3B18FF42D3186F621D249A286C8DCC9591160276114705652FD537CDBE22F6D0A43F101C6F8350A6B8760612945477Ei2g8M" TargetMode="External"/><Relationship Id="rId14" Type="http://schemas.openxmlformats.org/officeDocument/2006/relationships/hyperlink" Target="consultantplus://offline/ref=41CDCFC38CCC1CB9F3B18FF42D3186F621D249A284C1DCC9591160276114705652FD537EDBEB2B645F19E1058FAD3A14699B7E613745i4g4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Федулова А.Е.</cp:lastModifiedBy>
  <cp:revision>2</cp:revision>
  <dcterms:created xsi:type="dcterms:W3CDTF">2023-02-02T12:37:00Z</dcterms:created>
  <dcterms:modified xsi:type="dcterms:W3CDTF">2023-02-02T12:37:00Z</dcterms:modified>
</cp:coreProperties>
</file>